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641B8" w14:textId="69B70E9F" w:rsidR="00D2707E" w:rsidRPr="00D86B31" w:rsidRDefault="00D86B31" w:rsidP="00D2707E">
      <w:pPr>
        <w:pStyle w:val="Ttulo2"/>
        <w:spacing w:before="0" w:beforeAutospacing="0" w:after="0" w:afterAutospacing="0"/>
        <w:jc w:val="center"/>
        <w:rPr>
          <w:rFonts w:ascii="inherit" w:eastAsiaTheme="minorHAnsi" w:hAnsi="inherit"/>
          <w:sz w:val="31"/>
          <w:szCs w:val="31"/>
          <w:u w:val="single"/>
        </w:rPr>
      </w:pPr>
      <w:r w:rsidRPr="00D86B31">
        <w:rPr>
          <w:rFonts w:ascii="inherit" w:eastAsiaTheme="minorHAnsi" w:hAnsi="inherit"/>
          <w:sz w:val="31"/>
          <w:szCs w:val="31"/>
          <w:u w:val="single"/>
        </w:rPr>
        <w:t>CUIDADO CON LA INSCRIPCI</w:t>
      </w:r>
      <w:r w:rsidRPr="00D86B31">
        <w:rPr>
          <w:rFonts w:ascii="inherit" w:eastAsiaTheme="minorHAnsi" w:hAnsi="inherit" w:hint="eastAsia"/>
          <w:sz w:val="31"/>
          <w:szCs w:val="31"/>
          <w:u w:val="single"/>
        </w:rPr>
        <w:t>Ó</w:t>
      </w:r>
      <w:r w:rsidRPr="00D86B31">
        <w:rPr>
          <w:rFonts w:ascii="inherit" w:eastAsiaTheme="minorHAnsi" w:hAnsi="inherit"/>
          <w:sz w:val="31"/>
          <w:szCs w:val="31"/>
          <w:u w:val="single"/>
        </w:rPr>
        <w:t>N DE ACUERDOS SIN JUNTA</w:t>
      </w:r>
    </w:p>
    <w:p w14:paraId="68B4042D" w14:textId="77777777" w:rsidR="00D2707E" w:rsidRDefault="00D2707E" w:rsidP="00D2707E">
      <w:pPr>
        <w:pStyle w:val="NormalWeb"/>
        <w:spacing w:before="0" w:beforeAutospacing="0" w:after="0" w:afterAutospacing="0"/>
        <w:jc w:val="both"/>
        <w:rPr>
          <w:rFonts w:ascii="Roboto" w:hAnsi="Roboto"/>
          <w:color w:val="000000"/>
          <w:sz w:val="21"/>
          <w:szCs w:val="21"/>
        </w:rPr>
      </w:pPr>
    </w:p>
    <w:p w14:paraId="72E424E1" w14:textId="1608BFD5" w:rsidR="00D2707E" w:rsidRDefault="00D2707E" w:rsidP="00D2707E">
      <w:pPr>
        <w:pStyle w:val="NormalWeb"/>
        <w:spacing w:before="0" w:beforeAutospacing="0" w:after="0" w:afterAutospacing="0"/>
        <w:jc w:val="both"/>
        <w:rPr>
          <w:rFonts w:ascii="Roboto" w:hAnsi="Roboto"/>
          <w:color w:val="000000"/>
          <w:sz w:val="21"/>
          <w:szCs w:val="21"/>
        </w:rPr>
      </w:pPr>
      <w:r>
        <w:rPr>
          <w:rFonts w:ascii="Roboto" w:hAnsi="Roboto"/>
          <w:color w:val="000000"/>
          <w:sz w:val="21"/>
          <w:szCs w:val="21"/>
        </w:rPr>
        <w:t>La inscripción de acuerdos sin junta en el registro mercantil es uno de los “atajos irregulares” a los que acceden muchas empresas sin saber el riesgo legal que asumen.</w:t>
      </w:r>
    </w:p>
    <w:p w14:paraId="3567C14D" w14:textId="77777777" w:rsidR="00D2707E" w:rsidRDefault="00D2707E" w:rsidP="00D2707E">
      <w:pPr>
        <w:pStyle w:val="NormalWeb"/>
        <w:spacing w:before="192" w:beforeAutospacing="0" w:after="0" w:afterAutospacing="0"/>
        <w:jc w:val="both"/>
        <w:rPr>
          <w:rFonts w:ascii="Roboto" w:hAnsi="Roboto"/>
          <w:color w:val="000000"/>
          <w:sz w:val="21"/>
          <w:szCs w:val="21"/>
        </w:rPr>
      </w:pPr>
      <w:r>
        <w:rPr>
          <w:rFonts w:ascii="Roboto" w:hAnsi="Roboto"/>
          <w:color w:val="000000"/>
          <w:sz w:val="21"/>
          <w:szCs w:val="21"/>
        </w:rPr>
        <w:t>El</w:t>
      </w:r>
      <w:r>
        <w:rPr>
          <w:rStyle w:val="gmail-apple-converted-space"/>
          <w:rFonts w:ascii="Roboto" w:hAnsi="Roboto"/>
          <w:color w:val="000000"/>
          <w:sz w:val="21"/>
          <w:szCs w:val="21"/>
        </w:rPr>
        <w:t> </w:t>
      </w:r>
      <w:r>
        <w:rPr>
          <w:rFonts w:ascii="Roboto" w:hAnsi="Roboto"/>
          <w:color w:val="000000"/>
          <w:sz w:val="21"/>
          <w:szCs w:val="21"/>
        </w:rPr>
        <w:t>Texto Refundido de la Ley de Sociedades de Capital</w:t>
      </w:r>
      <w:r>
        <w:rPr>
          <w:rStyle w:val="gmail-apple-converted-space"/>
          <w:rFonts w:ascii="Roboto" w:hAnsi="Roboto"/>
          <w:color w:val="000000"/>
          <w:sz w:val="21"/>
          <w:szCs w:val="21"/>
        </w:rPr>
        <w:t> </w:t>
      </w:r>
      <w:r>
        <w:rPr>
          <w:rFonts w:ascii="Roboto" w:hAnsi="Roboto"/>
          <w:color w:val="000000"/>
          <w:sz w:val="21"/>
          <w:szCs w:val="21"/>
        </w:rPr>
        <w:t>impone la adopción de acuerdos en junta “reunidos en junta general” (artículo 159.1 del TRLSC) y su inclusión en acta aprobada por la propia junta al final de la reunión o, en su defecto, dentro del plazo de quince días, por el presidente y dos socios interventores, uno en representación de la mayoría y otro por la minoría” (artículo 202.1 de la TRLSC).</w:t>
      </w:r>
    </w:p>
    <w:p w14:paraId="686F80A9" w14:textId="77777777" w:rsidR="00D2707E" w:rsidRDefault="00D2707E" w:rsidP="00D2707E">
      <w:pPr>
        <w:pStyle w:val="NormalWeb"/>
        <w:spacing w:before="192" w:beforeAutospacing="0" w:after="0" w:afterAutospacing="0"/>
        <w:jc w:val="both"/>
        <w:rPr>
          <w:rFonts w:ascii="Roboto" w:hAnsi="Roboto"/>
          <w:color w:val="000000"/>
          <w:sz w:val="21"/>
          <w:szCs w:val="21"/>
        </w:rPr>
      </w:pPr>
      <w:r>
        <w:rPr>
          <w:rFonts w:ascii="Roboto" w:hAnsi="Roboto"/>
          <w:color w:val="000000"/>
          <w:sz w:val="21"/>
          <w:szCs w:val="21"/>
        </w:rPr>
        <w:t xml:space="preserve">Las actas de la junta (y de los demás órganos colegiados) deben transcribirse en el libro o libros registro que obligatoriamente han de llevar las sociedades mercantiles (art. 26 </w:t>
      </w:r>
      <w:proofErr w:type="spellStart"/>
      <w:r>
        <w:rPr>
          <w:rFonts w:ascii="Roboto" w:hAnsi="Roboto"/>
          <w:color w:val="000000"/>
          <w:sz w:val="21"/>
          <w:szCs w:val="21"/>
        </w:rPr>
        <w:t>Ccom</w:t>
      </w:r>
      <w:proofErr w:type="spellEnd"/>
      <w:r>
        <w:rPr>
          <w:rFonts w:ascii="Roboto" w:hAnsi="Roboto"/>
          <w:color w:val="000000"/>
          <w:sz w:val="21"/>
          <w:szCs w:val="21"/>
        </w:rPr>
        <w:t>) los cuales “se legalizarán telemáticamente antes de que transcurran los cuatro meses siguientes a la fecha de cierre del ejercicio” (art. 18.1 de la Ley 14/2013, de 27 de septiembre, de Emprendedores)</w:t>
      </w:r>
    </w:p>
    <w:p w14:paraId="18A7BD7F" w14:textId="77777777" w:rsidR="00D2707E" w:rsidRDefault="00D2707E" w:rsidP="00D2707E">
      <w:pPr>
        <w:pStyle w:val="NormalWeb"/>
        <w:spacing w:before="192" w:beforeAutospacing="0" w:after="0" w:afterAutospacing="0"/>
        <w:jc w:val="both"/>
        <w:rPr>
          <w:rFonts w:ascii="Roboto" w:hAnsi="Roboto"/>
          <w:color w:val="000000"/>
          <w:sz w:val="21"/>
          <w:szCs w:val="21"/>
        </w:rPr>
      </w:pPr>
      <w:r>
        <w:rPr>
          <w:rFonts w:ascii="Roboto" w:hAnsi="Roboto"/>
          <w:color w:val="000000"/>
          <w:sz w:val="21"/>
          <w:szCs w:val="21"/>
        </w:rPr>
        <w:t>En muchas ocasiones, pese a no haberse celebrado la Junta y, por tanto, sin la previa aprobación de un determinado acuerdo social, este se inscribe en el Registro Mercantil porque se ha presentado una certificación del órgano de administración en el que se confirma su existencia. Es decir, se presenta una certificación de una Junta inexistente.</w:t>
      </w:r>
    </w:p>
    <w:p w14:paraId="761D6C67" w14:textId="77777777" w:rsidR="00D2707E" w:rsidRDefault="00D2707E" w:rsidP="00D2707E">
      <w:pPr>
        <w:pStyle w:val="NormalWeb"/>
        <w:spacing w:before="192" w:beforeAutospacing="0" w:after="0" w:afterAutospacing="0"/>
        <w:jc w:val="both"/>
        <w:rPr>
          <w:rFonts w:ascii="Roboto" w:hAnsi="Roboto"/>
          <w:color w:val="000000"/>
          <w:sz w:val="21"/>
          <w:szCs w:val="21"/>
        </w:rPr>
      </w:pPr>
      <w:r>
        <w:rPr>
          <w:rFonts w:ascii="Roboto" w:hAnsi="Roboto"/>
          <w:color w:val="000000"/>
          <w:sz w:val="21"/>
          <w:szCs w:val="21"/>
        </w:rPr>
        <w:t>Recuerde que la inscripción de acuerdos en el registro mercantil formalmente tan solo requiere una certificación del administrador. (art. 107 RRM)</w:t>
      </w:r>
    </w:p>
    <w:p w14:paraId="61D49F41" w14:textId="77777777" w:rsidR="00D2707E" w:rsidRPr="00D2707E" w:rsidRDefault="00D2707E" w:rsidP="00D2707E">
      <w:pPr>
        <w:pStyle w:val="NormalWeb"/>
        <w:spacing w:before="192" w:beforeAutospacing="0" w:after="0" w:afterAutospacing="0"/>
        <w:jc w:val="both"/>
        <w:rPr>
          <w:rFonts w:ascii="Roboto" w:hAnsi="Roboto"/>
          <w:color w:val="000000"/>
          <w:sz w:val="21"/>
          <w:szCs w:val="21"/>
          <w:u w:val="single"/>
        </w:rPr>
      </w:pPr>
      <w:r w:rsidRPr="00D2707E">
        <w:rPr>
          <w:rFonts w:ascii="Roboto" w:hAnsi="Roboto"/>
          <w:color w:val="000000"/>
          <w:sz w:val="21"/>
          <w:szCs w:val="21"/>
          <w:u w:val="single"/>
        </w:rPr>
        <w:t>Son numerosos los casos de pymes en las que no se celebran juntas, ni se elaboran y firman las actas. Se trata de empresas en las que “aparentemente” reina la armonía y se presupone que todos los socios están de acuerdo con lo que se hace. Suele ser habitual en situaciones en las que existen socios mayoritarios miembros de una misma familia.</w:t>
      </w:r>
    </w:p>
    <w:p w14:paraId="34EE79EC" w14:textId="77777777" w:rsidR="00D2707E" w:rsidRDefault="00D2707E" w:rsidP="00D2707E">
      <w:pPr>
        <w:pStyle w:val="NormalWeb"/>
        <w:spacing w:before="192" w:beforeAutospacing="0" w:after="0" w:afterAutospacing="0"/>
        <w:jc w:val="both"/>
        <w:rPr>
          <w:rFonts w:ascii="Roboto" w:hAnsi="Roboto"/>
          <w:color w:val="000000"/>
          <w:sz w:val="21"/>
          <w:szCs w:val="21"/>
        </w:rPr>
      </w:pPr>
      <w:r>
        <w:rPr>
          <w:rFonts w:ascii="Roboto" w:hAnsi="Roboto"/>
          <w:color w:val="000000"/>
          <w:sz w:val="21"/>
          <w:szCs w:val="21"/>
        </w:rPr>
        <w:t>Por ejemplo, en relación con el depósito de las cuentas anuales de una empresa, el</w:t>
      </w:r>
      <w:r>
        <w:rPr>
          <w:rStyle w:val="gmail-apple-converted-space"/>
          <w:rFonts w:ascii="Roboto" w:hAnsi="Roboto"/>
          <w:color w:val="000000"/>
          <w:sz w:val="21"/>
          <w:szCs w:val="21"/>
        </w:rPr>
        <w:t> </w:t>
      </w:r>
      <w:r>
        <w:rPr>
          <w:rFonts w:ascii="Roboto" w:hAnsi="Roboto"/>
          <w:color w:val="000000"/>
          <w:sz w:val="21"/>
          <w:szCs w:val="21"/>
        </w:rPr>
        <w:t>art. 366.</w:t>
      </w:r>
      <w:proofErr w:type="gramStart"/>
      <w:r>
        <w:rPr>
          <w:rFonts w:ascii="Roboto" w:hAnsi="Roboto"/>
          <w:color w:val="000000"/>
          <w:sz w:val="21"/>
          <w:szCs w:val="21"/>
        </w:rPr>
        <w:t>1.2º</w:t>
      </w:r>
      <w:proofErr w:type="gramEnd"/>
      <w:r>
        <w:rPr>
          <w:rFonts w:ascii="Roboto" w:hAnsi="Roboto"/>
          <w:color w:val="000000"/>
          <w:sz w:val="21"/>
          <w:szCs w:val="21"/>
        </w:rPr>
        <w:t xml:space="preserve"> del Reglamento del Registro Mercantil</w:t>
      </w:r>
      <w:r>
        <w:rPr>
          <w:rStyle w:val="gmail-apple-converted-space"/>
          <w:rFonts w:ascii="Roboto" w:hAnsi="Roboto"/>
          <w:color w:val="000000"/>
          <w:sz w:val="21"/>
          <w:szCs w:val="21"/>
        </w:rPr>
        <w:t> </w:t>
      </w:r>
      <w:r>
        <w:rPr>
          <w:rFonts w:ascii="Roboto" w:hAnsi="Roboto"/>
          <w:color w:val="000000"/>
          <w:sz w:val="21"/>
          <w:szCs w:val="21"/>
        </w:rPr>
        <w:t>dispone que uno de los documentos que debe aportarse es la certificación del acta de la junta general que contenga el acuerdo por el cual se aprueban las cuentas y la aplicación del resultado. Sin embargo, muchas veces, a pesar de emitirse dicha certificación haciendo constar la realidad de la celebración de la junta general o la participación de la totalidad del capital social, lo cierto es que dicha junta no se ha llegado a celebrar o, si lo ha sido, no han asistido las personas que se identifican en la certificación.</w:t>
      </w:r>
    </w:p>
    <w:p w14:paraId="3BC82F7F" w14:textId="77777777" w:rsidR="00D2707E" w:rsidRDefault="00D2707E" w:rsidP="00D2707E">
      <w:pPr>
        <w:pStyle w:val="NormalWeb"/>
        <w:spacing w:before="192" w:beforeAutospacing="0" w:after="0" w:afterAutospacing="0"/>
        <w:jc w:val="both"/>
        <w:rPr>
          <w:rFonts w:ascii="Roboto" w:hAnsi="Roboto"/>
          <w:color w:val="000000"/>
          <w:sz w:val="21"/>
          <w:szCs w:val="21"/>
        </w:rPr>
      </w:pPr>
      <w:r>
        <w:rPr>
          <w:rFonts w:ascii="Roboto" w:hAnsi="Roboto"/>
          <w:color w:val="000000"/>
          <w:sz w:val="21"/>
          <w:szCs w:val="21"/>
        </w:rPr>
        <w:t>No son pocas las sociedades de reducido tamaño en las que el único acuerdo de junta anual es el referido a las cuentas anuales. En estas circunstancias, si media conformidad, es muy frecuente su aprobación, sin reunión, incluso por correo electrónico.</w:t>
      </w:r>
    </w:p>
    <w:p w14:paraId="09D2F009" w14:textId="77777777" w:rsidR="00D2707E" w:rsidRPr="00D2707E" w:rsidRDefault="00D2707E" w:rsidP="00D2707E">
      <w:pPr>
        <w:pStyle w:val="NormalWeb"/>
        <w:spacing w:before="192" w:beforeAutospacing="0" w:after="0" w:afterAutospacing="0"/>
        <w:jc w:val="both"/>
        <w:rPr>
          <w:rFonts w:ascii="Roboto" w:hAnsi="Roboto"/>
          <w:color w:val="000000"/>
          <w:sz w:val="21"/>
          <w:szCs w:val="21"/>
          <w:u w:val="single"/>
        </w:rPr>
      </w:pPr>
      <w:r w:rsidRPr="00D2707E">
        <w:rPr>
          <w:rFonts w:ascii="Roboto" w:hAnsi="Roboto"/>
          <w:color w:val="000000"/>
          <w:sz w:val="21"/>
          <w:szCs w:val="21"/>
          <w:u w:val="single"/>
        </w:rPr>
        <w:t>Pero cuando no “reina la paz social” ni existe ese consenso, este tipo de maniobras puede generar riesgos para Administrador. La ausencia de actas firmadas por los socios supone no poder demostrar, ante cualquier eventualidad, que efectivamente se adoptaron los acuerdos, por lo que, en caso de conflicto, o en casos en que algún acuerdo haya tenido resultados perjudiciales, el socio al que no se convocó podrá poner en aprietos al administrador.</w:t>
      </w:r>
    </w:p>
    <w:p w14:paraId="7C4F3506" w14:textId="77777777" w:rsidR="00D2707E" w:rsidRDefault="00D2707E" w:rsidP="00D2707E">
      <w:pPr>
        <w:pStyle w:val="NormalWeb"/>
        <w:spacing w:before="192" w:beforeAutospacing="0" w:after="0" w:afterAutospacing="0"/>
        <w:jc w:val="both"/>
        <w:rPr>
          <w:rFonts w:ascii="Roboto" w:hAnsi="Roboto"/>
          <w:color w:val="000000"/>
          <w:sz w:val="21"/>
          <w:szCs w:val="21"/>
        </w:rPr>
      </w:pPr>
      <w:r>
        <w:rPr>
          <w:rFonts w:ascii="Roboto" w:hAnsi="Roboto"/>
          <w:color w:val="000000"/>
          <w:sz w:val="21"/>
          <w:szCs w:val="21"/>
        </w:rPr>
        <w:t xml:space="preserve">Tenga en cuenta que las certificaciones de las actas son copias de las originales en las que se describe la existencia y la totalidad o parte de su contenido según sea por transcripción literal o por extracto (art. 112 Reglamento del Registro Mercantil). Aunque la ley no lo dice claramente hay que entender que las certificaciones (lo mismo que las actas) hacen prueba frente a todos en la medida que sirven de base para la elevación a público de los documentos </w:t>
      </w:r>
      <w:r>
        <w:rPr>
          <w:rFonts w:ascii="Roboto" w:hAnsi="Roboto"/>
          <w:color w:val="000000"/>
          <w:sz w:val="21"/>
          <w:szCs w:val="21"/>
        </w:rPr>
        <w:lastRenderedPageBreak/>
        <w:t>y, en su caso, para su inscripción (arts. 107.1 y 112.2 y 142.1 Reglamento Registro Mercantil). En ese sentido, son un medio de prueba que excede a los puros documentos privados.</w:t>
      </w:r>
    </w:p>
    <w:p w14:paraId="05B22A62" w14:textId="77777777" w:rsidR="00D2707E" w:rsidRDefault="00D2707E" w:rsidP="00D2707E">
      <w:pPr>
        <w:pStyle w:val="NormalWeb"/>
        <w:spacing w:before="192" w:beforeAutospacing="0" w:after="0" w:afterAutospacing="0"/>
        <w:jc w:val="both"/>
        <w:rPr>
          <w:rFonts w:ascii="Roboto" w:hAnsi="Roboto"/>
          <w:color w:val="000000"/>
          <w:sz w:val="21"/>
          <w:szCs w:val="21"/>
        </w:rPr>
      </w:pPr>
      <w:r>
        <w:rPr>
          <w:rFonts w:ascii="Roboto" w:hAnsi="Roboto"/>
          <w:color w:val="000000"/>
          <w:sz w:val="21"/>
          <w:szCs w:val="21"/>
        </w:rPr>
        <w:t>La emisión de dicha certificación “irregular” por la persona que forme parte del órgano de administración con facultad certificante puede llegar a constituir un delito de falsedad en documento mercantil tipificado en el</w:t>
      </w:r>
      <w:r>
        <w:rPr>
          <w:rStyle w:val="gmail-apple-converted-space"/>
          <w:rFonts w:ascii="Roboto" w:hAnsi="Roboto"/>
          <w:color w:val="000000"/>
          <w:sz w:val="21"/>
          <w:szCs w:val="21"/>
        </w:rPr>
        <w:t> </w:t>
      </w:r>
      <w:r>
        <w:rPr>
          <w:rFonts w:ascii="Roboto" w:hAnsi="Roboto"/>
          <w:color w:val="000000"/>
          <w:sz w:val="21"/>
          <w:szCs w:val="21"/>
        </w:rPr>
        <w:t>art. 392.1 del Código Penal, en relación con el art. 390.1 del mismo texto legal.</w:t>
      </w:r>
    </w:p>
    <w:p w14:paraId="1F10A72D" w14:textId="77777777" w:rsidR="00D2707E" w:rsidRDefault="00D2707E" w:rsidP="00D2707E">
      <w:pPr>
        <w:pStyle w:val="NormalWeb"/>
        <w:spacing w:before="192" w:beforeAutospacing="0" w:after="0" w:afterAutospacing="0"/>
        <w:jc w:val="both"/>
        <w:rPr>
          <w:rFonts w:ascii="Roboto" w:hAnsi="Roboto"/>
          <w:color w:val="000000"/>
          <w:sz w:val="21"/>
          <w:szCs w:val="21"/>
        </w:rPr>
      </w:pPr>
      <w:r>
        <w:rPr>
          <w:rFonts w:ascii="Roboto" w:hAnsi="Roboto"/>
          <w:color w:val="000000"/>
          <w:sz w:val="21"/>
          <w:szCs w:val="21"/>
        </w:rPr>
        <w:t>El</w:t>
      </w:r>
      <w:r>
        <w:rPr>
          <w:rStyle w:val="gmail-apple-converted-space"/>
          <w:rFonts w:ascii="Roboto" w:hAnsi="Roboto"/>
          <w:color w:val="000000"/>
          <w:sz w:val="21"/>
          <w:szCs w:val="21"/>
        </w:rPr>
        <w:t> </w:t>
      </w:r>
      <w:r>
        <w:rPr>
          <w:rFonts w:ascii="Roboto" w:hAnsi="Roboto"/>
          <w:color w:val="000000"/>
          <w:sz w:val="21"/>
          <w:szCs w:val="21"/>
        </w:rPr>
        <w:t>Artículo 392 del Código Penal</w:t>
      </w:r>
      <w:r>
        <w:rPr>
          <w:rStyle w:val="gmail-apple-converted-space"/>
          <w:rFonts w:ascii="Roboto" w:hAnsi="Roboto"/>
          <w:color w:val="000000"/>
          <w:sz w:val="21"/>
          <w:szCs w:val="21"/>
        </w:rPr>
        <w:t> </w:t>
      </w:r>
      <w:r>
        <w:rPr>
          <w:rFonts w:ascii="Roboto" w:hAnsi="Roboto"/>
          <w:color w:val="000000"/>
          <w:sz w:val="21"/>
          <w:szCs w:val="21"/>
        </w:rPr>
        <w:t>establece que el particular que cometa en documento público, oficial o mercantil alguna falsedad (como suponer en un acto la intervención de personas que no han asistido, o atribuir a las que han intervenido en él declaraciones o manifestaciones diferentes de las que hubieran hecho; o faltar a la verdad en la narración de los hechos) será castigado con pena de prisión de 6 meses a 3 años y multa de 6 a 12 meses.</w:t>
      </w:r>
    </w:p>
    <w:p w14:paraId="5CEA3E51" w14:textId="77777777" w:rsidR="00D2707E" w:rsidRDefault="00D2707E" w:rsidP="00D2707E">
      <w:pPr>
        <w:pStyle w:val="NormalWeb"/>
        <w:spacing w:before="192" w:beforeAutospacing="0" w:after="0" w:afterAutospacing="0"/>
        <w:jc w:val="both"/>
        <w:rPr>
          <w:rFonts w:ascii="Roboto" w:hAnsi="Roboto"/>
          <w:color w:val="000000"/>
          <w:sz w:val="21"/>
          <w:szCs w:val="21"/>
        </w:rPr>
      </w:pPr>
      <w:r>
        <w:rPr>
          <w:rFonts w:ascii="Roboto" w:hAnsi="Roboto"/>
          <w:b/>
          <w:bCs/>
          <w:color w:val="000000"/>
          <w:sz w:val="21"/>
          <w:szCs w:val="21"/>
        </w:rPr>
        <w:t>Delito de falsedad en documento mercantil</w:t>
      </w:r>
    </w:p>
    <w:p w14:paraId="21658285" w14:textId="77777777" w:rsidR="00D2707E" w:rsidRDefault="00D2707E" w:rsidP="00D2707E">
      <w:pPr>
        <w:pStyle w:val="NormalWeb"/>
        <w:spacing w:before="192" w:beforeAutospacing="0" w:after="0" w:afterAutospacing="0"/>
        <w:jc w:val="both"/>
        <w:rPr>
          <w:rFonts w:ascii="Roboto" w:hAnsi="Roboto"/>
          <w:color w:val="000000"/>
          <w:sz w:val="21"/>
          <w:szCs w:val="21"/>
        </w:rPr>
      </w:pPr>
      <w:r>
        <w:rPr>
          <w:rFonts w:ascii="Roboto" w:hAnsi="Roboto"/>
          <w:color w:val="000000"/>
          <w:sz w:val="21"/>
          <w:szCs w:val="21"/>
        </w:rPr>
        <w:t>Sin perjuicio de que pueda declararse judicialmente la nulidad del acuerdo certificado y de su inscripción, presentar en el Registro Mercantil una certificación del acta de una junta general que no se ha llegado a celebrar, puede suponer un delito de falsificación de documento mercantil, regulado a los efectos que aquí interesan en los</w:t>
      </w:r>
      <w:r>
        <w:rPr>
          <w:rStyle w:val="gmail-apple-converted-space"/>
          <w:rFonts w:ascii="Roboto" w:hAnsi="Roboto"/>
          <w:color w:val="000000"/>
          <w:sz w:val="21"/>
          <w:szCs w:val="21"/>
        </w:rPr>
        <w:t> </w:t>
      </w:r>
      <w:r>
        <w:rPr>
          <w:rFonts w:ascii="Roboto" w:hAnsi="Roboto"/>
          <w:color w:val="000000"/>
          <w:sz w:val="21"/>
          <w:szCs w:val="21"/>
        </w:rPr>
        <w:t>artículos 390</w:t>
      </w:r>
      <w:r>
        <w:rPr>
          <w:rStyle w:val="gmail-apple-converted-space"/>
          <w:rFonts w:ascii="Roboto" w:hAnsi="Roboto"/>
          <w:color w:val="000000"/>
          <w:sz w:val="21"/>
          <w:szCs w:val="21"/>
        </w:rPr>
        <w:t> </w:t>
      </w:r>
      <w:r>
        <w:rPr>
          <w:rFonts w:ascii="Roboto" w:hAnsi="Roboto"/>
          <w:color w:val="000000"/>
          <w:sz w:val="21"/>
          <w:szCs w:val="21"/>
        </w:rPr>
        <w:t>y</w:t>
      </w:r>
      <w:r>
        <w:rPr>
          <w:rStyle w:val="gmail-apple-converted-space"/>
          <w:rFonts w:ascii="Roboto" w:hAnsi="Roboto"/>
          <w:color w:val="000000"/>
          <w:sz w:val="21"/>
          <w:szCs w:val="21"/>
        </w:rPr>
        <w:t> </w:t>
      </w:r>
      <w:r>
        <w:rPr>
          <w:rFonts w:ascii="Roboto" w:hAnsi="Roboto"/>
          <w:color w:val="000000"/>
          <w:sz w:val="21"/>
          <w:szCs w:val="21"/>
        </w:rPr>
        <w:t>392 del Código Penal, mediante los que se tipifica que será culpable de este delito todo aquél que falsee un documento de la siguiente forma:</w:t>
      </w:r>
    </w:p>
    <w:p w14:paraId="4E4CDAAB" w14:textId="77777777" w:rsidR="00D2707E" w:rsidRDefault="00D2707E" w:rsidP="00D2707E">
      <w:pPr>
        <w:pStyle w:val="NormalWeb"/>
        <w:spacing w:before="192" w:beforeAutospacing="0" w:after="0" w:afterAutospacing="0"/>
        <w:jc w:val="both"/>
        <w:rPr>
          <w:rFonts w:ascii="Roboto" w:hAnsi="Roboto"/>
          <w:color w:val="000000"/>
          <w:sz w:val="21"/>
          <w:szCs w:val="21"/>
        </w:rPr>
      </w:pPr>
      <w:r>
        <w:rPr>
          <w:rFonts w:ascii="Roboto" w:hAnsi="Roboto"/>
          <w:color w:val="000000"/>
          <w:sz w:val="21"/>
          <w:szCs w:val="21"/>
        </w:rPr>
        <w:t>1º) Alterando alguno de los elementos del documento o de sus requisitos de carácter esencial.</w:t>
      </w:r>
    </w:p>
    <w:p w14:paraId="756DAE5B" w14:textId="77777777" w:rsidR="00D2707E" w:rsidRDefault="00D2707E" w:rsidP="00D2707E">
      <w:pPr>
        <w:pStyle w:val="NormalWeb"/>
        <w:spacing w:before="192" w:beforeAutospacing="0" w:after="0" w:afterAutospacing="0"/>
        <w:jc w:val="both"/>
        <w:rPr>
          <w:rFonts w:ascii="Roboto" w:hAnsi="Roboto"/>
          <w:color w:val="000000"/>
          <w:sz w:val="21"/>
          <w:szCs w:val="21"/>
        </w:rPr>
      </w:pPr>
      <w:r>
        <w:rPr>
          <w:rFonts w:ascii="Roboto" w:hAnsi="Roboto"/>
          <w:color w:val="000000"/>
          <w:sz w:val="21"/>
          <w:szCs w:val="21"/>
        </w:rPr>
        <w:t>2º) Cuando se simule el documento en todo o en parte. Es necesario que la manipulación pueda llegar a inducir a error en lo que se refiere a su autenticidad.</w:t>
      </w:r>
    </w:p>
    <w:p w14:paraId="0BC6C9E7" w14:textId="77777777" w:rsidR="00D2707E" w:rsidRDefault="00D2707E" w:rsidP="00D2707E">
      <w:pPr>
        <w:pStyle w:val="NormalWeb"/>
        <w:spacing w:before="192" w:beforeAutospacing="0" w:after="0" w:afterAutospacing="0"/>
        <w:jc w:val="both"/>
        <w:rPr>
          <w:rFonts w:ascii="Roboto" w:hAnsi="Roboto"/>
          <w:color w:val="000000"/>
          <w:sz w:val="21"/>
          <w:szCs w:val="21"/>
        </w:rPr>
      </w:pPr>
      <w:r>
        <w:rPr>
          <w:rFonts w:ascii="Roboto" w:hAnsi="Roboto"/>
          <w:color w:val="000000"/>
          <w:sz w:val="21"/>
          <w:szCs w:val="21"/>
        </w:rPr>
        <w:t>3º) Cuando se atribuya en un acto la intervención de personas no asistentes, o cuando se indiquen declaraciones o manifestaciones diferentes de las que hubieran hecho.</w:t>
      </w:r>
    </w:p>
    <w:p w14:paraId="643C6BAC" w14:textId="77777777" w:rsidR="00D2707E" w:rsidRDefault="00D2707E" w:rsidP="00D2707E">
      <w:pPr>
        <w:pStyle w:val="NormalWeb"/>
        <w:spacing w:before="192" w:beforeAutospacing="0" w:after="0" w:afterAutospacing="0"/>
        <w:jc w:val="both"/>
        <w:rPr>
          <w:rFonts w:ascii="Roboto" w:hAnsi="Roboto"/>
          <w:color w:val="000000"/>
          <w:sz w:val="21"/>
          <w:szCs w:val="21"/>
        </w:rPr>
      </w:pPr>
      <w:r>
        <w:rPr>
          <w:rFonts w:ascii="Roboto" w:hAnsi="Roboto"/>
          <w:color w:val="000000"/>
          <w:sz w:val="21"/>
          <w:szCs w:val="21"/>
        </w:rPr>
        <w:t>4º) Cuando se falte a la verdad en la narración de los hechos.</w:t>
      </w:r>
    </w:p>
    <w:p w14:paraId="7CFB8DA2" w14:textId="77777777" w:rsidR="00D2707E" w:rsidRDefault="00D2707E" w:rsidP="00D2707E">
      <w:pPr>
        <w:pStyle w:val="NormalWeb"/>
        <w:spacing w:before="192" w:beforeAutospacing="0" w:after="0" w:afterAutospacing="0"/>
        <w:jc w:val="both"/>
        <w:rPr>
          <w:rFonts w:ascii="Roboto" w:hAnsi="Roboto"/>
          <w:color w:val="000000"/>
          <w:sz w:val="21"/>
          <w:szCs w:val="21"/>
        </w:rPr>
      </w:pPr>
      <w:r>
        <w:rPr>
          <w:rFonts w:ascii="Roboto" w:hAnsi="Roboto"/>
          <w:color w:val="000000"/>
          <w:sz w:val="21"/>
          <w:szCs w:val="21"/>
        </w:rPr>
        <w:t>La jurisprudencia del Tribunal Supremo ha considerado que son documentos de comercio todos aquellos que consignan un acto o derecho de naturaleza mercantil, como las letras de cambio, los cheques, pagarés u otros títulos valores, balances y los demás documentos contables de las sociedades, las actas de las reuniones de sus órganos, las facturas, los albaranes y los recibos u otros justificantes de actos de comercio etc.</w:t>
      </w:r>
    </w:p>
    <w:p w14:paraId="59756C1F" w14:textId="77777777" w:rsidR="00D2707E" w:rsidRDefault="00D2707E" w:rsidP="00D2707E">
      <w:pPr>
        <w:pStyle w:val="NormalWeb"/>
        <w:spacing w:before="192" w:beforeAutospacing="0" w:after="0" w:afterAutospacing="0"/>
        <w:jc w:val="both"/>
        <w:rPr>
          <w:rFonts w:ascii="Roboto" w:hAnsi="Roboto"/>
          <w:color w:val="000000"/>
          <w:sz w:val="21"/>
          <w:szCs w:val="21"/>
        </w:rPr>
      </w:pPr>
      <w:r>
        <w:rPr>
          <w:rFonts w:ascii="Roboto" w:hAnsi="Roboto"/>
          <w:color w:val="000000"/>
          <w:sz w:val="21"/>
          <w:szCs w:val="21"/>
        </w:rPr>
        <w:t>Por su relevancia, destacamos la Sentencia del</w:t>
      </w:r>
      <w:r>
        <w:rPr>
          <w:rStyle w:val="gmail-apple-converted-space"/>
          <w:rFonts w:ascii="Roboto" w:hAnsi="Roboto"/>
          <w:color w:val="000000"/>
          <w:sz w:val="21"/>
          <w:szCs w:val="21"/>
        </w:rPr>
        <w:t> </w:t>
      </w:r>
      <w:r>
        <w:rPr>
          <w:rFonts w:ascii="Roboto" w:hAnsi="Roboto"/>
          <w:color w:val="000000"/>
          <w:sz w:val="21"/>
          <w:szCs w:val="21"/>
        </w:rPr>
        <w:t>Tribunal Supremo de 5 de octubre de 2006, pues, en ella, se responde afirmativamente a la cuestión de si constituye un delito continuado de falsedad en documento mercantil la conducta de un sujeto que, en su condición de miembro del órgano de administración de una sociedad limitada, elaboró y firmó durante cuatro años consecutivos sendas certificaciones en las que se hacían constar que se habían celebrado juntas generales de la sociedad, aprobándose en las mismas las cuentas anuales del ejercicio que precedía a cada una de las respectivas juntas, cuando tales juntas nunca se convocaron ni celebraron.</w:t>
      </w:r>
    </w:p>
    <w:p w14:paraId="21EC8CB8" w14:textId="77777777" w:rsidR="000702C3" w:rsidRDefault="000702C3"/>
    <w:sectPr w:rsidR="000702C3">
      <w:headerReference w:type="default" r:id="rId6"/>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57B6F" w14:textId="77777777" w:rsidR="00C87492" w:rsidRDefault="00C87492" w:rsidP="00C87492">
      <w:pPr>
        <w:spacing w:after="0" w:line="240" w:lineRule="auto"/>
      </w:pPr>
      <w:r>
        <w:separator/>
      </w:r>
    </w:p>
  </w:endnote>
  <w:endnote w:type="continuationSeparator" w:id="0">
    <w:p w14:paraId="1F7DBCF8" w14:textId="77777777" w:rsidR="00C87492" w:rsidRDefault="00C87492" w:rsidP="00C874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herit">
    <w:altName w:val="Cambria"/>
    <w:panose1 w:val="00000000000000000000"/>
    <w:charset w:val="00"/>
    <w:family w:val="roman"/>
    <w:notTrueType/>
    <w:pitch w:val="default"/>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90F79" w14:textId="6A91F137" w:rsidR="00C87492" w:rsidRDefault="00F21832" w:rsidP="00F21832">
    <w:pPr>
      <w:pStyle w:val="Piedepgina"/>
      <w:jc w:val="center"/>
    </w:pPr>
    <w:r>
      <w:rPr>
        <w:noProof/>
      </w:rPr>
      <w:drawing>
        <wp:inline distT="0" distB="0" distL="0" distR="0" wp14:anchorId="7BDFC782" wp14:editId="52F5C215">
          <wp:extent cx="3286125" cy="616342"/>
          <wp:effectExtent l="0" t="0" r="0" b="0"/>
          <wp:docPr id="1449911748"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911748" name="Imagen 1" descr="Logotip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3286125" cy="616342"/>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B7DEF" w14:textId="77777777" w:rsidR="00C87492" w:rsidRDefault="00C87492" w:rsidP="00C87492">
      <w:pPr>
        <w:spacing w:after="0" w:line="240" w:lineRule="auto"/>
      </w:pPr>
      <w:r>
        <w:separator/>
      </w:r>
    </w:p>
  </w:footnote>
  <w:footnote w:type="continuationSeparator" w:id="0">
    <w:p w14:paraId="21837AE6" w14:textId="77777777" w:rsidR="00C87492" w:rsidRDefault="00C87492" w:rsidP="00C874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742DE" w14:textId="77777777" w:rsidR="00C87492" w:rsidRPr="00FC0635" w:rsidRDefault="00C87492" w:rsidP="00C87492">
    <w:pPr>
      <w:pStyle w:val="Encabezado"/>
      <w:jc w:val="center"/>
      <w:rPr>
        <w:b/>
        <w:bCs/>
        <w:color w:val="590000"/>
      </w:rPr>
    </w:pPr>
    <w:r w:rsidRPr="00FC0635">
      <w:rPr>
        <w:b/>
        <w:bCs/>
        <w:color w:val="590000"/>
      </w:rPr>
      <w:t>Taller de Cuentas Anuales, Impuesto sobre Sociedades y Modelo 282</w:t>
    </w:r>
  </w:p>
  <w:p w14:paraId="4F5D0FDF" w14:textId="77777777" w:rsidR="00C87492" w:rsidRDefault="00C87492" w:rsidP="00C87492">
    <w:pPr>
      <w:pStyle w:val="Encabezado"/>
      <w:jc w:val="center"/>
      <w:rPr>
        <w:b/>
        <w:bCs/>
        <w:color w:val="590000"/>
      </w:rPr>
    </w:pPr>
    <w:r w:rsidRPr="00FC0635">
      <w:rPr>
        <w:b/>
        <w:bCs/>
        <w:color w:val="590000"/>
      </w:rPr>
      <w:t>4 y 5 de junio de 2025</w:t>
    </w:r>
  </w:p>
  <w:p w14:paraId="1936C26C" w14:textId="77777777" w:rsidR="00C87492" w:rsidRDefault="00C87492">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07E"/>
    <w:rsid w:val="000702C3"/>
    <w:rsid w:val="007C4BC0"/>
    <w:rsid w:val="008B6A3C"/>
    <w:rsid w:val="00C87492"/>
    <w:rsid w:val="00D2707E"/>
    <w:rsid w:val="00D86B31"/>
    <w:rsid w:val="00EA64D0"/>
    <w:rsid w:val="00F2183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40103"/>
  <w15:chartTrackingRefBased/>
  <w15:docId w15:val="{634E3415-3C07-45F9-9CE3-D53388A12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link w:val="Ttulo2Car"/>
    <w:uiPriority w:val="9"/>
    <w:semiHidden/>
    <w:unhideWhenUsed/>
    <w:qFormat/>
    <w:rsid w:val="00D2707E"/>
    <w:pPr>
      <w:spacing w:before="100" w:beforeAutospacing="1" w:after="100" w:afterAutospacing="1" w:line="240" w:lineRule="auto"/>
      <w:outlineLvl w:val="1"/>
    </w:pPr>
    <w:rPr>
      <w:rFonts w:ascii="Calibri" w:eastAsia="Times New Roman" w:hAnsi="Calibri" w:cs="Calibri"/>
      <w:b/>
      <w:bCs/>
      <w:kern w:val="0"/>
      <w:sz w:val="36"/>
      <w:szCs w:val="36"/>
      <w:lang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semiHidden/>
    <w:rsid w:val="00D2707E"/>
    <w:rPr>
      <w:rFonts w:ascii="Calibri" w:eastAsia="Times New Roman" w:hAnsi="Calibri" w:cs="Calibri"/>
      <w:b/>
      <w:bCs/>
      <w:kern w:val="0"/>
      <w:sz w:val="36"/>
      <w:szCs w:val="36"/>
      <w:lang w:eastAsia="es-ES"/>
      <w14:ligatures w14:val="none"/>
    </w:rPr>
  </w:style>
  <w:style w:type="paragraph" w:styleId="NormalWeb">
    <w:name w:val="Normal (Web)"/>
    <w:basedOn w:val="Normal"/>
    <w:uiPriority w:val="99"/>
    <w:semiHidden/>
    <w:unhideWhenUsed/>
    <w:rsid w:val="00D2707E"/>
    <w:pPr>
      <w:spacing w:before="100" w:beforeAutospacing="1" w:after="100" w:afterAutospacing="1" w:line="240" w:lineRule="auto"/>
    </w:pPr>
    <w:rPr>
      <w:rFonts w:ascii="Calibri" w:hAnsi="Calibri" w:cs="Calibri"/>
      <w:kern w:val="0"/>
      <w:lang w:eastAsia="es-ES"/>
      <w14:ligatures w14:val="none"/>
    </w:rPr>
  </w:style>
  <w:style w:type="character" w:customStyle="1" w:styleId="gmail-apple-converted-space">
    <w:name w:val="gmail-apple-converted-space"/>
    <w:basedOn w:val="Fuentedeprrafopredeter"/>
    <w:rsid w:val="00D2707E"/>
  </w:style>
  <w:style w:type="paragraph" w:styleId="Encabezado">
    <w:name w:val="header"/>
    <w:basedOn w:val="Normal"/>
    <w:link w:val="EncabezadoCar"/>
    <w:uiPriority w:val="99"/>
    <w:unhideWhenUsed/>
    <w:rsid w:val="00C87492"/>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87492"/>
  </w:style>
  <w:style w:type="paragraph" w:styleId="Piedepgina">
    <w:name w:val="footer"/>
    <w:basedOn w:val="Normal"/>
    <w:link w:val="PiedepginaCar"/>
    <w:uiPriority w:val="99"/>
    <w:unhideWhenUsed/>
    <w:rsid w:val="00C8749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874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2689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1032</Words>
  <Characters>5676</Characters>
  <Application>Microsoft Office Word</Application>
  <DocSecurity>0</DocSecurity>
  <Lines>47</Lines>
  <Paragraphs>13</Paragraphs>
  <ScaleCrop>false</ScaleCrop>
  <Company/>
  <LinksUpToDate>false</LinksUpToDate>
  <CharactersWithSpaces>6695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Luís Alayon</dc:creator>
  <cp:keywords/>
  <dc:description/>
  <cp:lastModifiedBy>AAFC Formación</cp:lastModifiedBy>
  <cp:revision>4</cp:revision>
  <dcterms:created xsi:type="dcterms:W3CDTF">2024-06-12T12:26:00Z</dcterms:created>
  <dcterms:modified xsi:type="dcterms:W3CDTF">2025-06-05T11:03:00Z</dcterms:modified>
</cp:coreProperties>
</file>